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r>
        <w:rPr>
          <w:vertAlign w:val="superscript"/>
        </w:rPr>
        <w:t xml:space="preserve">1</w:t>
      </w:r>
    </w:p>
    <w:p>
      <w:pPr>
        <w:pStyle w:val="BodyText"/>
      </w:pPr>
      <w:r>
        <w:t xml:space="preserve">Krystal Bagnaschi</w:t>
      </w:r>
      <w:r>
        <w:rPr>
          <w:vertAlign w:val="superscript"/>
        </w:rPr>
        <w:t xml:space="preserve">1</w:t>
      </w:r>
    </w:p>
    <w:p>
      <w:pPr>
        <w:pStyle w:val="BodyText"/>
      </w:pPr>
      <w:r>
        <w:t xml:space="preserve">Iris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_____,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w:t>
      </w:r>
      <w:r>
        <w:t xml:space="preserve"> </w:t>
      </w:r>
      <w:r>
        <w:t xml:space="preserve">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One mechanism that is not represented in global C models is the impact of nuisance species – i.e., indigenous or non-indigenous species that, as a result of human influence, have much greater abundance in an ecosystem than they did historically, resulting in undesirable ecological consequences</w:t>
      </w:r>
      <w:r>
        <w:t xml:space="preserve"> </w:t>
      </w:r>
      <w:r>
        <w:t xml:space="preserve">(</w:t>
      </w:r>
      <w:r>
        <w:rPr>
          <w:bCs/>
          <w:b/>
        </w:rPr>
        <w:t xml:space="preserve">refs?</w:t>
      </w:r>
      <w:r>
        <w:t xml:space="preserve">)</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 (Lovett et al. 2016, Fischer et al. 2013, Herms and McCullough 2014, Fei et al. 2014). Historically introduced to new ecosystems through intercontinental trade, non-indigenous forest insects and diseases will continue to proliferate with increased globalization and human movement (Fischer et al. 2013, Aukema et al. 2010, Brockerhoff et al. 2006). Many of the prominent pests and pathogens in temperate deciduous forests have dramatic effects on canopy composition and structure, decimating once-abundant canopy species (Aukema et. al 2010,Anderson-Teixeria 2021, Klooster et al. 2013, Ellison et al. 2018). Since many pests and pathogens do not currently occupy the full extent of their host species range, a significant portion of the remaining forest canopy is susceptible to future invasion from nuisance species, further increasing potentials for biomass loss and altered carbon cycle dynamics (Fei et al. 2013).</w:t>
      </w:r>
    </w:p>
    <w:p>
      <w:pPr>
        <w:pStyle w:val="BodyText"/>
      </w:pPr>
      <w:r>
        <w:t xml:space="preserve">White-tailed deer (</w:t>
      </w:r>
      <w:r>
        <w:rPr>
          <w:iCs/>
          <w:i/>
        </w:rPr>
        <w:t xml:space="preserve">Odocoileus virginianus</w:t>
      </w:r>
      <w:r>
        <w:t xml:space="preserve">) are a nuisance species prevalent in eastern deciduous forests.</w:t>
      </w:r>
      <w:r>
        <w:rPr>
          <w:iCs/>
          <w:i/>
        </w:rPr>
        <w:t xml:space="preserve">Start with a stronger sentence about the impact of deer on herbivory - Ex. White-tailed deer are the dominant herbivore in eastern deciduous forests (Reference)</w:t>
      </w:r>
      <w:r>
        <w:t xml:space="preserve"> </w:t>
      </w:r>
      <w:r>
        <w:t xml:space="preserve">Their populations have dramatically increased in the past 50 years (McShea et al. 1997).</w:t>
      </w:r>
      <w:r>
        <w:t xml:space="preserve"> </w:t>
      </w:r>
      <w:r>
        <w:rPr>
          <w:iCs/>
          <w:i/>
        </w:rPr>
        <w:t xml:space="preserve">Find a reference with a specific number of increase in deer populations</w:t>
      </w:r>
      <w:r>
        <w:t xml:space="preserve"> </w:t>
      </w:r>
      <w:r>
        <w:t xml:space="preserve">due in large part to global change drivers. (Found in McGarvey et al. 2013 – Brown et al. 2000, Côté et al. 2004, Rooney 2001). White-tailed deer preferentially browse on woody plant species in their earliest life stages (McGarvey et al. 2013), with overabundant herbivory reduce seedling and sapling survival, growth and density (Found in McGarvey et al. 2013 – Dzieciolowski 1980, Gill and Beardall 2001, Healy 1997, Konig 1976, Putman et al. 1989). Chronic overabundance has been shown to reduce understory diversity and decrease the abundance of traditionally dominant species (</w:t>
      </w:r>
      <w:r>
        <w:rPr>
          <w:iCs/>
          <w:i/>
        </w:rPr>
        <w:t xml:space="preserve">NEW CITATION</w:t>
      </w:r>
      <w:r>
        <w:t xml:space="preserve">). Due to climate change and human activity, many non-endemic plant species are being introduced or number in forest ecosystems (Reference). Deer find many of these species, including pawpaw (Asimina triloba), to be unpalatable (Found in McGarvey 2013 – Asnani 2006), and do not consume them at the same rates relative to their native counterparts (Reference), enabling them to form dense stands in forest understories (Found in Knauer et al. 2023 – Horsley and Marquis 1983; Stromayer and Warren 1997; Royo and Carson 2006). This lack of browsing pressure, coupled with characteristics such as fast growth rate and greater adaptability to altered conditions precipitated by climate change, allow nuisance plant species to outcompete other species in the understory (Reference). The interaction of these nuisance species on the landscape contributes to a recruitment failure in forests, [</w:t>
      </w:r>
      <w:r>
        <w:rPr>
          <w:iCs/>
          <w:i/>
        </w:rPr>
        <w:t xml:space="preserve">Where individuals from certain tree species do not enter the mature population - Do we need to define recruitment failure, or is that considered common knowledge? If so, reference</w:t>
      </w:r>
      <w:r>
        <w:t xml:space="preserve">). The extent of the consequences derived from recruitment failure on species composition and forest structure is often not apparent for years (McGarvey et al. 2013)</w:t>
      </w:r>
    </w:p>
    <w:p>
      <w:pPr>
        <w:numPr>
          <w:ilvl w:val="0"/>
          <w:numId w:val="1002"/>
        </w:numPr>
        <w:pStyle w:val="Compact"/>
      </w:pPr>
      <w:r>
        <w:t xml:space="preserve">white-tailed deer (</w:t>
      </w:r>
      <w:r>
        <w:rPr>
          <w:iCs/>
          <w:i/>
        </w:rPr>
        <w:t xml:space="preserve">Odocoileus virginianus</w:t>
      </w:r>
      <w:r>
        <w:t xml:space="preserve"> </w:t>
      </w:r>
      <w:r>
        <w:t xml:space="preserve">) is important endemic nuisance species, over-abundant because of human influence</w:t>
      </w:r>
    </w:p>
    <w:p>
      <w:pPr>
        <w:pStyle w:val="FirstParagraph"/>
      </w:pPr>
      <w:r>
        <w:t xml:space="preserve">McGarvey</w:t>
      </w:r>
      <w:r>
        <w:t xml:space="preserve"> </w:t>
      </w:r>
      <w:r>
        <w:rPr>
          <w:iCs/>
          <w:i/>
        </w:rPr>
        <w:t xml:space="preserve">et al.</w:t>
      </w:r>
      <w:r>
        <w:t xml:space="preserve"> </w:t>
      </w:r>
      <w:r>
        <w:t xml:space="preserve">(2013)</w:t>
      </w:r>
      <w:r>
        <w:t xml:space="preserve"> </w:t>
      </w:r>
      <w:r>
        <w:t xml:space="preserve">Holm</w:t>
      </w:r>
      <w:r>
        <w:t xml:space="preserve"> </w:t>
      </w:r>
      <w:r>
        <w:rPr>
          <w:iCs/>
          <w:i/>
        </w:rPr>
        <w:t xml:space="preserve">et al.</w:t>
      </w:r>
      <w:r>
        <w:t xml:space="preserve"> </w:t>
      </w:r>
      <w:r>
        <w:t xml:space="preserve">(2013)</w:t>
      </w:r>
      <w:r>
        <w:t xml:space="preserve"> </w:t>
      </w:r>
      <w:r>
        <w:t xml:space="preserve">Knauer</w:t>
      </w:r>
      <w:r>
        <w:t xml:space="preserve"> </w:t>
      </w:r>
      <w:r>
        <w:rPr>
          <w:iCs/>
          <w:i/>
        </w:rPr>
        <w:t xml:space="preserve">et al.</w:t>
      </w:r>
      <w:r>
        <w:t xml:space="preserve"> </w:t>
      </w:r>
      <w:r>
        <w:t xml:space="preserve">(2023)</w:t>
      </w:r>
    </w:p>
    <w:p>
      <w:pPr>
        <w:pStyle w:val="BodyText"/>
      </w:pPr>
      <w:r>
        <w:t xml:space="preserve">The capacity to regenerate following disturbances, including ongoing gap formation through mortality of canopy trees, critically influences long-term forest dynamics.</w:t>
      </w:r>
      <w:r>
        <w:t xml:space="preserve"> </w:t>
      </w:r>
      <w:r>
        <w:t xml:space="preserve">Regeneration depends first upon seed production and then upon seedling recruitment, survival, and growth into trees.</w:t>
      </w:r>
      <w:r>
        <w:t xml:space="preserve"> </w:t>
      </w:r>
      <w:r>
        <w:t xml:space="preserve">When any one of these steps fails, the stage is set for disturbance to push forest ecosystems over a tipping point, whereby there is little chance that a forest will recover to it’s pre-disturbance state in the foreseeable future</w:t>
      </w:r>
      <w:r>
        <w:t xml:space="preserve"> </w:t>
      </w:r>
      <w:r>
        <w:t xml:space="preserve">(</w:t>
      </w:r>
      <w:r>
        <w:rPr>
          <w:bCs/>
          <w:b/>
        </w:rPr>
        <w:t xml:space="preserve">refs?</w:t>
      </w:r>
      <w:r>
        <w:t xml:space="preserve">)</w:t>
      </w:r>
      <w:r>
        <w:t xml:space="preserve">.</w:t>
      </w:r>
      <w:r>
        <w:t xml:space="preserve"> </w:t>
      </w:r>
      <w:r>
        <w:t xml:space="preserve">Global change pressures can set the stage for such critical transitions by gradually shifting baseline conditions, making post-disturbance recovery unlikely despite the persistence of mature trees</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w:t>
      </w:r>
      <w:r>
        <w:t xml:space="preserve"> </w:t>
      </w:r>
      <w:r>
        <w:rPr>
          <w:bCs/>
          <w:b/>
        </w:rPr>
        <w:t xml:space="preserve">refs?</w:t>
      </w:r>
      <w:r>
        <w:t xml:space="preserve">)</w:t>
      </w:r>
      <w:r>
        <w:t xml:space="preserve">.</w:t>
      </w:r>
      <w:r>
        <w:t xml:space="preserve"> </w:t>
      </w:r>
      <w:r>
        <w:t xml:space="preserve">In the mid-Atlantic region of eastern North America, forests face a severe</w:t>
      </w:r>
      <w:r>
        <w:t xml:space="preserve"> </w:t>
      </w:r>
      <w:r>
        <w:t xml:space="preserve">“</w:t>
      </w:r>
      <w:r>
        <w:t xml:space="preserve">regeneration debt</w:t>
      </w:r>
      <w:r>
        <w:t xml:space="preserve">”</w:t>
      </w:r>
      <w:r>
        <w:t xml:space="preserve">, meaning that there are insufficient juveniles of current canopy tree species to replace the mature cohort when they eventually die</w:t>
      </w:r>
      <w:r>
        <w:t xml:space="preserve"> </w:t>
      </w:r>
      <w:r>
        <w:t xml:space="preserve">(Miller &amp; McGill, 2019; Miller</w:t>
      </w:r>
      <w:r>
        <w:t xml:space="preserve"> </w:t>
      </w:r>
      <w:r>
        <w:rPr>
          <w:iCs/>
          <w:i/>
        </w:rPr>
        <w:t xml:space="preserve">et al.</w:t>
      </w:r>
      <w:r>
        <w:t xml:space="preserve">, 2023)</w:t>
      </w:r>
      <w:r>
        <w:t xml:space="preserve">.</w:t>
      </w:r>
      <w:r>
        <w:t xml:space="preserve"> </w:t>
      </w:r>
      <w:r>
        <w:t xml:space="preserve">Low juvenile abundance in the region is driven by a combination of over-abundant deer, competition with non-endemic species, and possibly climate change</w:t>
      </w:r>
      <w:r>
        <w:t xml:space="preserve"> </w:t>
      </w:r>
      <w:r>
        <w:t xml:space="preserve">(Russell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r>
        <w:t xml:space="preserve"> </w:t>
      </w:r>
      <w:r>
        <w:t xml:space="preserve">Deer are the biggest problem</w:t>
      </w:r>
      <w:r>
        <w:t xml:space="preserve"> </w:t>
      </w:r>
      <w:r>
        <w:t xml:space="preserve">(Gorchov</w:t>
      </w:r>
      <w:r>
        <w:t xml:space="preserve"> </w:t>
      </w:r>
      <w:r>
        <w:rPr>
          <w:iCs/>
          <w:i/>
        </w:rPr>
        <w:t xml:space="preserve">et al.</w:t>
      </w:r>
      <w:r>
        <w:t xml:space="preserve">, 2021)</w:t>
      </w:r>
      <w:r>
        <w:t xml:space="preserve">.</w:t>
      </w:r>
      <w:r>
        <w:t xml:space="preserve"> </w:t>
      </w:r>
      <w:r>
        <w:t xml:space="preserve">The juveniles that are present tend to represent a different, more mesophytic set of species (</w:t>
      </w:r>
      <w:r>
        <w:rPr>
          <w:iCs/>
          <w:i/>
        </w:rPr>
        <w:t xml:space="preserve">Acer spp.</w:t>
      </w:r>
      <w:r>
        <w:t xml:space="preserve">,</w:t>
      </w:r>
      <w:r>
        <w:t xml:space="preserve"> </w:t>
      </w:r>
      <w:r>
        <w:rPr>
          <w:iCs/>
          <w:i/>
        </w:rPr>
        <w:t xml:space="preserve">Fagus grandifolia</w:t>
      </w:r>
      <w:r>
        <w:t xml:space="preserve">) than currently dominate much of the region (</w:t>
      </w:r>
      <w:r>
        <w:rPr>
          <w:iCs/>
          <w:i/>
        </w:rPr>
        <w:t xml:space="preserve">Quercus spp.</w:t>
      </w:r>
      <w:r>
        <w:t xml:space="preserve">,</w:t>
      </w:r>
      <w:r>
        <w:t xml:space="preserve"> </w:t>
      </w:r>
      <w:r>
        <w:rPr>
          <w:iCs/>
          <w:i/>
        </w:rPr>
        <w:t xml:space="preserve">Carya spp.</w:t>
      </w:r>
      <w:r>
        <w:t xml:space="preserve">,</w:t>
      </w:r>
      <w:r>
        <w:t xml:space="preserve"> </w:t>
      </w:r>
      <w:r>
        <w:t xml:space="preserve">Miller &amp; McGill (2019)</w:t>
      </w:r>
      <w:r>
        <w:t xml:space="preserve">;</w:t>
      </w:r>
      <w:r>
        <w:t xml:space="preserve"> </w:t>
      </w:r>
      <w:r>
        <w:t xml:space="preserve">Nowacki &amp; Abrams (2015)</w:t>
      </w:r>
      <w:r>
        <w:t xml:space="preserve">]–a dynamic driven by fire suppression and mesophication</w:t>
      </w:r>
      <w:r>
        <w:t xml:space="preserve"> </w:t>
      </w:r>
      <w:r>
        <w:t xml:space="preserve">(</w:t>
      </w:r>
      <w:r>
        <w:rPr>
          <w:bCs/>
          <w:b/>
        </w:rPr>
        <w:t xml:space="preserve">refs?</w:t>
      </w:r>
      <w:r>
        <w:t xml:space="preserve">)</w:t>
      </w:r>
      <w:r>
        <w:t xml:space="preserve">.</w:t>
      </w:r>
    </w:p>
    <w:p>
      <w:pPr>
        <w:pStyle w:val="BodyText"/>
      </w:pPr>
      <w:r>
        <w:t xml:space="preserve">Here, we use 15 years of detailed census data from a large forest dynamics plot including a 4-ha deer exclosure to test the following hypotheses:</w:t>
      </w:r>
      <w:r>
        <w:t xml:space="preserve"> </w:t>
      </w:r>
      <w:r>
        <w:t xml:space="preserve">(1) ) Aboveground C stocks in living biomass have declined since the initial census (-∆AGB)</w:t>
      </w:r>
      <w:r>
        <w:t xml:space="preserve"> </w:t>
      </w:r>
      <w:r>
        <w:t xml:space="preserve">(2) canopy tree mortality and associated woody biomass loss are increasing, in large part due to nonindigenous nuisance species</w:t>
      </w:r>
      <w:r>
        <w:t xml:space="preserve"> </w:t>
      </w:r>
      <w:r>
        <w:t xml:space="preserve">(3) Recruitment and woody growth have not kept pace with tree mortality, suggesting that future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Large Forest Dynamics plot at the National Zoo and Conservation Biology Institute in Front Royal, Virginia (38 53’36.6“N, 78 08’43.4 “W). The plot, which is located in the central Appalachian Mountains adjacent to Shenandoah National Park, is composed of mature secondary eastern deciduous forest. Situated in the Appalachian Oak forest region, the canopy is dominated by tulip poplar (</w:t>
      </w:r>
      <w:r>
        <w:rPr>
          <w:iCs/>
          <w:i/>
        </w:rPr>
        <w:t xml:space="preserve">Liriodendron tulipifera</w:t>
      </w:r>
      <w:r>
        <w:t xml:space="preserve">), oak (</w:t>
      </w:r>
      <w:r>
        <w:rPr>
          <w:iCs/>
          <w:i/>
        </w:rPr>
        <w:t xml:space="preserve">Quercus spp.</w:t>
      </w:r>
      <w:r>
        <w:t xml:space="preserve">), and hickory (</w:t>
      </w:r>
      <w:r>
        <w:rPr>
          <w:iCs/>
          <w:i/>
        </w:rPr>
        <w:t xml:space="preserve">Carya spp.</w:t>
      </w:r>
      <w:r>
        <w:t xml:space="preserve">)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(SCBI site description). The land-use history of the site is varied, including periods of agricultural development and intensive logging, with dendrological data estimating canopy tree establishment around 1900 (SI archives, Bourg et al. 2013). Natural disturbances at the plot consist of wind and infrequent ice storms (Anderson-Teixiera 2015).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promotes comparative forest ecology studies around the world.</w:t>
      </w:r>
    </w:p>
    <w:p>
      <w:pPr>
        <w:numPr>
          <w:ilvl w:val="0"/>
          <w:numId w:val="1003"/>
        </w:numPr>
        <w:pStyle w:val="Compact"/>
      </w:pPr>
      <w:r>
        <w:t xml:space="preserve">Add information about the history of pests and pathogens at this site and at similar forests</w:t>
      </w:r>
    </w:p>
    <w:p>
      <w:pPr>
        <w:pStyle w:val="FirstParagraph"/>
      </w:pPr>
      <w:r>
        <w:t xml:space="preserve">In addition to our consideration of the plot as a whole, we give special consideration to three portions of the plot, all upland forest (i.e., excluding low-lying areas around streams):</w:t>
      </w:r>
      <w:r>
        <w:t xml:space="preserve"> </w:t>
      </w:r>
      <w:r>
        <w:t xml:space="preserve">(1) low deer, low non-endemic insects &amp; pathogens - 4 ha portion of upland forest in the SE quarter of the plot, fenced in YEAR and maintained with only occasional deer presence for the past ## years and with relatively low abundance of canopy species affected by non-endemic pests and pathogens;</w:t>
      </w:r>
      <w:r>
        <w:t xml:space="preserve"> </w:t>
      </w:r>
      <w:r>
        <w:t xml:space="preserve">(2) high deer, low non-endemic insects &amp; pathogens # ha of upland forest outside the deer exclosure with relatively low abundance of canopy species affected by non-endemic pests and pathogens;</w:t>
      </w:r>
      <w:r>
        <w:t xml:space="preserve"> </w:t>
      </w:r>
      <w:r>
        <w:t xml:space="preserve">(3) high deer, high non-endemic insects &amp; pathogens - a # ha section of upland forest outside the deer exclosure with relatively high abundance of canopy species affected by non-endemic pests and pathogens.</w:t>
      </w:r>
      <w:r>
        <w:t xml:space="preserve"> </w:t>
      </w:r>
      <w:r>
        <w:t xml:space="preserve">These areas were delineated as follows.</w:t>
      </w:r>
      <w:r>
        <w:t xml:space="preserve"> </w:t>
      </w:r>
      <w:r>
        <w:t xml:space="preserve">Upland forest was defined according to topographic wetness index, originally calculated for the SCBI plot in</w:t>
      </w:r>
      <w:r>
        <w:t xml:space="preserve"> </w:t>
      </w:r>
      <w:r>
        <w:t xml:space="preserve">McGregor</w:t>
      </w:r>
      <w:r>
        <w:t xml:space="preserve"> </w:t>
      </w:r>
      <w:r>
        <w:rPr>
          <w:iCs/>
          <w:i/>
        </w:rPr>
        <w:t xml:space="preserve">et al.</w:t>
      </w:r>
      <w:r>
        <w:t xml:space="preserve"> </w:t>
      </w:r>
      <w:r>
        <w:t xml:space="preserve">(2021)</w:t>
      </w:r>
      <w:r>
        <w:t xml:space="preserve">.</w:t>
      </w:r>
      <w:r>
        <w:t xml:space="preserve"> </w:t>
      </w:r>
      <w:r>
        <w:t xml:space="preserve">Vulnerability to non-endemic insects &amp; pathogens was defined based on the abundance of canopy species affected by non-endemic pests and pathogens at the time of plot establishment (2008).</w:t>
      </w:r>
    </w:p>
    <w:p>
      <w:pPr>
        <w:pStyle w:val="CaptionedFigure"/>
      </w:pPr>
      <w:r>
        <w:drawing>
          <wp:inline>
            <wp:extent cx="5943600" cy="4203059"/>
            <wp:effectExtent b="0" l="0" r="0" t="0"/>
            <wp:docPr descr="Figure 1. Photos within the SCBI ForestGEO plot: (a) low deer, low non-endemic insects &amp; pathogens, (b) high deer, low non-endemic insects &amp; pathogens, (c) high deer, high non-endemic insects &amp; pathogens  (add a map of the plot) All photos taken September 2023 by K. Anderson-Teixeira."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bCs/>
          <w:b/>
        </w:rPr>
        <w:t xml:space="preserve">Figure 1. Photos within the SCBI ForestGEO plot: (a) low deer, low non-endemic insects &amp; pathogens, (b) high deer, low non-endemic insects &amp; pathogens, (c) high deer, high non-endemic insects &amp; pathogens</w:t>
      </w:r>
      <w:r>
        <w:rPr>
          <w:bCs/>
          <w:b/>
        </w:rPr>
        <w:t xml:space="preserve"> </w:t>
      </w:r>
      <w:r>
        <w:t xml:space="preserve"> </w:t>
      </w:r>
      <w:r>
        <w:rPr>
          <w:iCs/>
          <w:i/>
        </w:rPr>
        <w:t xml:space="preserve">(add a map of the plot)</w:t>
      </w:r>
      <w:r>
        <w:t xml:space="preserve"> </w:t>
      </w:r>
      <w:r>
        <w:t xml:space="preserve">All photos taken September 2023 by K. Anderson-Teixeira.</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 number of field surveys are regularly conducted at the site, two of which are included in our analysis. As part of the ForestGEO network, the plot undergoes a comprehensive woody plant inventory every five years, according to the protocol outlined in Condit (1998). This inventory, hereby referred to as the census, includes all stems greater than 1 centimeter in diameter breast height (1.3 meters; dbh). The census records information regarding the dbh, species, status and location of each stem included in the survey. Each invidual is assigned an identifying number for sequential data collection in subsequent censuses and outfitted with a metal tag in the field. In multi-stemmed individuals, each additional stem that surpasses the 1 cm dbh threshold receives a stem number and associated tag. Location is recorded on a digitized map of the plot on the ESRI ArcGIS FieldMaps application (</w:t>
      </w:r>
      <w:r>
        <w:rPr>
          <w:iCs/>
          <w:i/>
        </w:rPr>
        <w:t xml:space="preserve">citation</w:t>
      </w:r>
      <w:r>
        <w:t xml:space="preserve">). Established in 2008, there have been four censuses at the site, comprising 15 years of detailed forest dynamics data. In addition to the ForestGEO census, since 2014 an annual mortality survey has been conducted on the site. Initiated, in part, as a response to the presence of Emerald Ashborer, the mortality survey is conducted on all trees that had a dbh greater than 10 centimeters in the previous full census. Through assessing individual tree health, this study illustrates trends in forest mortality and identifies factors that are associated with death. Data is collected on the current status, canopy position, percentage of crown living and intact, and visible indicators of poor tree health, such as physical damage, potential pathogens and insect infestation.</w:t>
      </w:r>
    </w:p>
    <w:p>
      <w:pPr>
        <w:pStyle w:val="BodyText"/>
      </w:pPr>
      <w:r>
        <w:t xml:space="preserve">To improve the quality of the data, GitHub Actions continuous integration was implemented for quality control (Kim et al., 2022). Data from the previous census was used to populate the Field Maps app, and fields were created to input data. There were checks built into the app to help catch errors, for example the DBH field would flag a suspiciously high number and would not allow the form to be submitted if it was blank. To use the app in the field the census crew downloaded offline areas of where they were working and synced them to an online map after collecting data. Next the data was downloaded from ArcGIS online and pushed to GitHub, where it triggered a GitHub Action running data quality assurance and control (QA/QC) scripts. The scripts were written in R and checked the data for errors such as</w:t>
      </w:r>
      <w:r>
        <w:t xml:space="preserve"> </w:t>
      </w:r>
      <w:r>
        <w:t xml:space="preserve">“</w:t>
      </w:r>
      <w:r>
        <w:t xml:space="preserve">suspicious positive growth.</w:t>
      </w:r>
      <w:r>
        <w:t xml:space="preserve">”</w:t>
      </w:r>
      <w:r>
        <w:t xml:space="preserve"> </w:t>
      </w:r>
      <w:r>
        <w:t xml:space="preserve">After going through the QA/QC process, a csv of errors and warnings with the associated stem were output which could then be corrected in the field.</w:t>
      </w:r>
    </w:p>
    <w:bookmarkEnd w:id="28"/>
    <w:bookmarkStart w:id="29" w:name="analyses"/>
    <w:p>
      <w:pPr>
        <w:pStyle w:val="Heading2"/>
      </w:pPr>
      <w:r>
        <w:rPr>
          <w:rStyle w:val="SectionNumber"/>
        </w:rPr>
        <w:t xml:space="preserve">2.3</w:t>
      </w:r>
      <w:r>
        <w:tab/>
      </w:r>
      <w:r>
        <w:t xml:space="preserve">Analyses</w:t>
      </w:r>
    </w:p>
    <w:p>
      <w:pPr>
        <w:numPr>
          <w:ilvl w:val="0"/>
          <w:numId w:val="1004"/>
        </w:numPr>
        <w:pStyle w:val="Compact"/>
      </w:pPr>
      <w:r>
        <w:t xml:space="preserve">We</w:t>
      </w:r>
      <w:r>
        <w:br/>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site, whole-plot aboveground C stocks decreased (Figure 2). From 2018 to 2023, whole-plot C stocks have decreased from</w:t>
      </w:r>
      <w:r>
        <w:t xml:space="preserve"> </w:t>
      </w:r>
      <w:r>
        <w:rPr>
          <w:bCs/>
          <w:b/>
        </w:rPr>
        <w:t xml:space="preserve">“</w:t>
      </w:r>
      <w:r>
        <w:rPr>
          <w:bCs/>
          <w:b/>
        </w:rPr>
        <w:t xml:space="preserve">X to X</w:t>
      </w:r>
      <w:r>
        <w:rPr>
          <w:bCs/>
          <w:b/>
        </w:rPr>
        <w:t xml:space="preserve">”</w:t>
      </w:r>
      <w:r>
        <w:t xml:space="preserve"> </w:t>
      </w:r>
      <w:r>
        <w:t xml:space="preserve">Mg C/ha. Both low-nuisance regions show similar decreases in C stocks going from</w:t>
      </w:r>
      <w:r>
        <w:t xml:space="preserve"> </w:t>
      </w:r>
      <w:r>
        <w:rPr>
          <w:bCs/>
          <w:b/>
        </w:rPr>
        <w:t xml:space="preserve">“</w:t>
      </w:r>
      <w:r>
        <w:rPr>
          <w:bCs/>
          <w:b/>
        </w:rPr>
        <w:t xml:space="preserve">X to X</w:t>
      </w:r>
      <w:r>
        <w:rPr>
          <w:bCs/>
          <w:b/>
        </w:rPr>
        <w:t xml:space="preserve">”</w:t>
      </w:r>
      <w:r>
        <w:t xml:space="preserve"> </w:t>
      </w:r>
      <w:r>
        <w:t xml:space="preserve">and</w:t>
      </w:r>
      <w:r>
        <w:t xml:space="preserve"> </w:t>
      </w:r>
      <w:r>
        <w:rPr>
          <w:bCs/>
          <w:b/>
        </w:rPr>
        <w:t xml:space="preserve">“</w:t>
      </w:r>
      <w:r>
        <w:rPr>
          <w:bCs/>
          <w:b/>
        </w:rPr>
        <w:t xml:space="preserve">X to X</w:t>
      </w:r>
      <w:r>
        <w:rPr>
          <w:bCs/>
          <w:b/>
        </w:rPr>
        <w:t xml:space="preserve">”</w:t>
      </w:r>
      <w:r>
        <w:t xml:space="preserve"> </w:t>
      </w:r>
      <w:r>
        <w:t xml:space="preserve">Mg C/ha, respectively. In the high deer high nuisance regions C stocks have decreased for the past two censuses, with a higher magnitude decrease of</w:t>
      </w:r>
      <w:r>
        <w:t xml:space="preserve"> </w:t>
      </w:r>
      <w:r>
        <w:rPr>
          <w:bCs/>
          <w:b/>
        </w:rPr>
        <w:t xml:space="preserve">“</w:t>
      </w:r>
      <w:r>
        <w:rPr>
          <w:bCs/>
          <w:b/>
        </w:rPr>
        <w:t xml:space="preserve">X to X</w:t>
      </w:r>
      <w:r>
        <w:rPr>
          <w:bCs/>
          <w:b/>
        </w:rPr>
        <w:t xml:space="preserve">”</w:t>
      </w:r>
      <w:r>
        <w:t xml:space="preserve"> </w:t>
      </w:r>
      <w:r>
        <w:t xml:space="preserve">Mg C/ha from 2018 to 2023. C stock decrease</w:t>
      </w:r>
      <w:r>
        <w:t xml:space="preserve"> </w:t>
      </w:r>
      <w:r>
        <w:rPr>
          <w:bCs/>
          <w:b/>
        </w:rPr>
        <w:t xml:space="preserve">is related to/ is explained by</w:t>
      </w:r>
      <w:r>
        <w:t xml:space="preserve"> </w:t>
      </w:r>
      <w:r>
        <w:t xml:space="preserve">above ground net biomass change. In the first two census intervals, 2008 to 2013 and 2013 to 2018, there were positive C fluxes, but for the 2018 to 2023 interval there was a negative C flux of</w:t>
      </w:r>
      <w:r>
        <w:t xml:space="preserve"> </w:t>
      </w:r>
      <w:r>
        <w:rPr>
          <w:bCs/>
          <w:b/>
        </w:rPr>
        <w:t xml:space="preserve">VALUE</w:t>
      </w:r>
      <w:r>
        <w:t xml:space="preserve"> </w:t>
      </w:r>
      <w:r>
        <w:t xml:space="preserve">Mg C/ha/year (Figure 3a).</w:t>
      </w:r>
    </w:p>
    <w:p>
      <w:pPr>
        <w:pStyle w:val="CaptionedFigure"/>
      </w:pPr>
      <w:r>
        <w:drawing>
          <wp:inline>
            <wp:extent cx="5943600" cy="6792685"/>
            <wp:effectExtent b="0" l="0" r="0" t="0"/>
            <wp:docPr descr="Figure 2. Aboveground biomass decreased at the site for the first time since establishment. The net decrease at the plot-level was driven by large losses in regions with high vulnerability to nuisance specie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Cs/>
          <w:b/>
        </w:rPr>
        <w:t xml:space="preserve">Figure 2. Aboveground biomass decreased at the site for the first time since establishment. The net decrease at the plot-level was driven by large losses in regions with high vulnerability to nuisance species.</w:t>
      </w:r>
    </w:p>
    <w:p>
      <w:pPr>
        <w:pStyle w:val="BodyText"/>
      </w:pPr>
      <w:r>
        <w:t xml:space="preserve">The trend in net woody production can be explained by its constituent fluxes (Figure 3). Trends in woody mortality show that for the first two census intervals, the whole plot has lost</w:t>
      </w:r>
      <w:r>
        <w:t xml:space="preserve"> </w:t>
      </w:r>
      <w:r>
        <w:rPr>
          <w:bCs/>
          <w:b/>
        </w:rPr>
        <w:t xml:space="preserve">VALUE</w:t>
      </w:r>
      <w:r>
        <w:t xml:space="preserve"> </w:t>
      </w:r>
      <w:r>
        <w:t xml:space="preserve">and then</w:t>
      </w:r>
      <w:r>
        <w:t xml:space="preserve"> </w:t>
      </w:r>
      <w:r>
        <w:rPr>
          <w:bCs/>
          <w:b/>
        </w:rPr>
        <w:t xml:space="preserve">VALUE</w:t>
      </w:r>
      <w:r>
        <w:t xml:space="preserve"> </w:t>
      </w:r>
      <w:r>
        <w:t xml:space="preserve">Mg C/ha/year, increasing to a loss of</w:t>
      </w:r>
      <w:r>
        <w:t xml:space="preserve"> </w:t>
      </w:r>
      <w:r>
        <w:rPr>
          <w:bCs/>
          <w:b/>
        </w:rPr>
        <w:t xml:space="preserve">VALUE</w:t>
      </w:r>
      <w:r>
        <w:t xml:space="preserve"> </w:t>
      </w:r>
      <w:r>
        <w:t xml:space="preserve">Mg C/ha/year for the most recent census interval (Figure 3b). Woody productivity contributes positively to the flux, showing that the whole plot gained</w:t>
      </w:r>
      <w:r>
        <w:t xml:space="preserve"> </w:t>
      </w:r>
      <w:r>
        <w:rPr>
          <w:bCs/>
          <w:b/>
        </w:rPr>
        <w:t xml:space="preserve">VALUE</w:t>
      </w:r>
      <w:r>
        <w:t xml:space="preserve"> </w:t>
      </w:r>
      <w:r>
        <w:t xml:space="preserve">Mg C/ha/year in the first interval,</w:t>
      </w:r>
      <w:r>
        <w:t xml:space="preserve"> </w:t>
      </w:r>
      <w:r>
        <w:rPr>
          <w:bCs/>
          <w:b/>
        </w:rPr>
        <w:t xml:space="preserve">VALUE</w:t>
      </w:r>
      <w:r>
        <w:t xml:space="preserve"> </w:t>
      </w:r>
      <w:r>
        <w:t xml:space="preserve">Mg C/ha/year in the second, and</w:t>
      </w:r>
      <w:r>
        <w:t xml:space="preserve"> </w:t>
      </w:r>
      <w:r>
        <w:rPr>
          <w:bCs/>
          <w:b/>
        </w:rPr>
        <w:t xml:space="preserve">VALUE</w:t>
      </w:r>
      <w:r>
        <w:t xml:space="preserve"> </w:t>
      </w:r>
      <w:r>
        <w:t xml:space="preserve">Mg C/ha/year in the third (Figure 3c). Areas of low deer, low nuisance species were consistently the most productive ending at</w:t>
      </w:r>
      <w:r>
        <w:t xml:space="preserve"> </w:t>
      </w:r>
      <w:r>
        <w:rPr>
          <w:bCs/>
          <w:b/>
        </w:rPr>
        <w:t xml:space="preserve">VALUE</w:t>
      </w:r>
      <w:r>
        <w:t xml:space="preserve"> </w:t>
      </w:r>
      <w:r>
        <w:t xml:space="preserve">Mg C/ha/year in the interval 2018 to 2023, and areas of high deer, high nuisance species were the least productive at</w:t>
      </w:r>
      <w:r>
        <w:t xml:space="preserve"> </w:t>
      </w:r>
      <w:r>
        <w:rPr>
          <w:bCs/>
          <w:b/>
        </w:rPr>
        <w:t xml:space="preserve">VALUE</w:t>
      </w:r>
      <w:r>
        <w:t xml:space="preserve"> </w:t>
      </w:r>
      <w:r>
        <w:t xml:space="preserve">Mg C/ha/year in the interval 2018 to 2023. Recruitment has consistently added smaller magnitude amounts of carbon with the whole plot gaining</w:t>
      </w:r>
      <w:r>
        <w:t xml:space="preserve"> </w:t>
      </w:r>
      <w:r>
        <w:rPr>
          <w:bCs/>
          <w:b/>
        </w:rPr>
        <w:t xml:space="preserve">VALUE</w:t>
      </w:r>
      <w:r>
        <w:t xml:space="preserve"> </w:t>
      </w:r>
      <w:r>
        <w:t xml:space="preserve">Mg C/ha/year (Figure 3d). Recruitment was highest at</w:t>
      </w:r>
      <w:r>
        <w:t xml:space="preserve"> </w:t>
      </w:r>
      <w:r>
        <w:rPr>
          <w:bCs/>
          <w:b/>
        </w:rPr>
        <w:t xml:space="preserve">VALUE</w:t>
      </w:r>
      <w:r>
        <w:t xml:space="preserve"> </w:t>
      </w:r>
      <w:r>
        <w:t xml:space="preserve">Mg C/ha/year in areas with high deer and high vulnerable species, and lowest at</w:t>
      </w:r>
      <w:r>
        <w:t xml:space="preserve"> </w:t>
      </w:r>
      <w:r>
        <w:rPr>
          <w:bCs/>
          <w:b/>
        </w:rPr>
        <w:t xml:space="preserve">VALUE</w:t>
      </w:r>
      <w:r>
        <w:t xml:space="preserve"> </w:t>
      </w:r>
      <w:r>
        <w:t xml:space="preserve">Mg C/ha/year in areas with high deer and low vulnerable species.</w:t>
      </w:r>
    </w:p>
    <w:p>
      <w:pPr>
        <w:pStyle w:val="CaptionedFigure"/>
      </w:pPr>
      <w:r>
        <w:drawing>
          <wp:inline>
            <wp:extent cx="5943600" cy="4754880"/>
            <wp:effectExtent b="0" l="0" r="0" t="0"/>
            <wp:docPr descr="Figure 3. Fluxes of aboveground woody biomass. Large increases in woody mortality combined with sustained decreases in woody productivity result in decreasing net biomass in the most recent censu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Cs/>
          <w:b/>
        </w:rPr>
        <w:t xml:space="preserve">Figure 3. Fluxes of aboveground woody biomass. Large increases in woody mortality combined with sustained decreases in woody productivity result in decreasing net biomass in the most recent census.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Woody mortality was the primary driver of the negative trend in biomass, and certain species were responsible for higher levels of mortality. Fraxinus americana had the highest aboveground woody mortality rates of any species present on the plot, peaking at</w:t>
      </w:r>
      <w:r>
        <w:t xml:space="preserve"> </w:t>
      </w:r>
      <w:r>
        <w:rPr>
          <w:bCs/>
          <w:b/>
        </w:rPr>
        <w:t xml:space="preserve">VALUE</w:t>
      </w:r>
      <w:r>
        <w:t xml:space="preserve"> </w:t>
      </w:r>
      <w:r>
        <w:t xml:space="preserve">Mg C/ha/year lost in</w:t>
      </w:r>
      <w:r>
        <w:t xml:space="preserve"> </w:t>
      </w:r>
      <w:r>
        <w:rPr>
          <w:iCs/>
          <w:i/>
        </w:rPr>
        <w:t xml:space="preserve">2020</w:t>
      </w:r>
      <w:r>
        <w:t xml:space="preserve"> </w:t>
      </w:r>
      <w:r>
        <w:t xml:space="preserve">, and</w:t>
      </w:r>
      <w:r>
        <w:t xml:space="preserve"> </w:t>
      </w:r>
      <w:r>
        <w:rPr>
          <w:bCs/>
          <w:b/>
        </w:rPr>
        <w:t xml:space="preserve">VALUE</w:t>
      </w:r>
      <w:r>
        <w:t xml:space="preserve"> </w:t>
      </w:r>
      <w:r>
        <w:t xml:space="preserve">Mg C/ha/year lost in 2022 (Figure 4). Quercus velutina contributed the second-highest levels of mortality, losing</w:t>
      </w:r>
      <w:r>
        <w:t xml:space="preserve"> </w:t>
      </w:r>
      <w:r>
        <w:rPr>
          <w:bCs/>
          <w:b/>
        </w:rPr>
        <w:t xml:space="preserve">VALUE</w:t>
      </w:r>
      <w:r>
        <w:t xml:space="preserve"> </w:t>
      </w:r>
      <w:r>
        <w:t xml:space="preserve">Mg C/ha/year in 2022. Quercus rubra, Carya species, Quercus prinus, Quercus alba, and Liriodendron tulipifera were all significant contributors as well.</w:t>
      </w:r>
    </w:p>
    <w:p>
      <w:pPr>
        <w:pStyle w:val="CaptionedFigure"/>
      </w:pPr>
      <w:r>
        <w:drawing>
          <wp:inline>
            <wp:extent cx="5943600" cy="3566160"/>
            <wp:effectExtent b="0" l="0" r="0" t="0"/>
            <wp:docPr descr="Figure 4. Annual woody mortality flux by species/genera. We report large increases in mortality of white ash, red oak, and black oak."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rPr>
          <w:bCs/>
          <w:b/>
        </w:rPr>
        <w:t xml:space="preserve">Figure 4. Annual woody mortality flux by species/genera. We report large increases in mortality of white ash, red oak, and black oak.</w:t>
      </w:r>
    </w:p>
    <w:bookmarkEnd w:id="40"/>
    <w:bookmarkStart w:id="44" w:name="species-composition-of-recruitment-flux"/>
    <w:p>
      <w:pPr>
        <w:pStyle w:val="Heading2"/>
      </w:pPr>
      <w:r>
        <w:rPr>
          <w:rStyle w:val="SectionNumber"/>
        </w:rPr>
        <w:t xml:space="preserve">3.2</w:t>
      </w:r>
      <w:r>
        <w:tab/>
      </w:r>
      <w:r>
        <w:t xml:space="preserve">Species composition of recruitment flux</w:t>
      </w:r>
    </w:p>
    <w:p>
      <w:pPr>
        <w:pStyle w:val="FirstParagraph"/>
      </w:pPr>
      <w:r>
        <w:t xml:space="preserve">Certain species dominated aboveground woody recruitment, with understory species being recruited at higher rates than canopy species (Figure 5). Out of the canopy species, Carya species showed the highest levels of recruitment with a rate of</w:t>
      </w:r>
      <w:r>
        <w:t xml:space="preserve"> </w:t>
      </w:r>
      <w:r>
        <w:rPr>
          <w:bCs/>
          <w:b/>
        </w:rPr>
        <w:t xml:space="preserve">VALUE</w:t>
      </w:r>
      <w:r>
        <w:t xml:space="preserve"> </w:t>
      </w:r>
      <w:r>
        <w:t xml:space="preserve">Mg C/ha/year recruited from 2018 to 2023 (Figure 5a). Acer negundo had the second highest rate of recruitment for canopy species at</w:t>
      </w:r>
      <w:r>
        <w:t xml:space="preserve"> </w:t>
      </w:r>
      <w:r>
        <w:rPr>
          <w:bCs/>
          <w:b/>
        </w:rPr>
        <w:t xml:space="preserve">VALUE</w:t>
      </w:r>
      <w:r>
        <w:t xml:space="preserve"> </w:t>
      </w:r>
      <w:r>
        <w:t xml:space="preserve">Mg C/ha/year from 2018 to 2023. Fagus grandifolia, Fraxinus americana, and Ulmus rubra are the other species with the highest recruitment rates. Most canopy species had lower recruitment rates in the 2018 to 2023 census interval than the 2008 to 2013 interval. Lindera benzoin had by far the highest recruitment rate of the understory species at</w:t>
      </w:r>
      <w:r>
        <w:t xml:space="preserve"> </w:t>
      </w:r>
      <w:r>
        <w:rPr>
          <w:bCs/>
          <w:b/>
        </w:rPr>
        <w:t xml:space="preserve">VALUE</w:t>
      </w:r>
      <w:r>
        <w:t xml:space="preserve"> </w:t>
      </w:r>
      <w:r>
        <w:t xml:space="preserve">Mg C/ha/year from 2018 to 2023 (Figure 3b). Asimina triloba had the second highest rate of recruitment of the understory species at</w:t>
      </w:r>
      <w:r>
        <w:t xml:space="preserve"> </w:t>
      </w:r>
      <w:r>
        <w:rPr>
          <w:bCs/>
          <w:b/>
        </w:rPr>
        <w:t xml:space="preserve">VALUE</w:t>
      </w:r>
      <w:r>
        <w:t xml:space="preserve"> </w:t>
      </w:r>
      <w:r>
        <w:t xml:space="preserve">Mg C/ha/year recruited from 2018 to 2023. Other understory species with high recruitment were Carpinus caroliniana, Hamamelis virginiana, and Celtis occidentalis.</w:t>
      </w:r>
    </w:p>
    <w:p>
      <w:pPr>
        <w:pStyle w:val="CaptionedFigure"/>
      </w:pPr>
      <w:r>
        <w:drawing>
          <wp:inline>
            <wp:extent cx="3810000" cy="2540000"/>
            <wp:effectExtent b="0" l="0" r="0" t="0"/>
            <wp:docPr descr="Figure 5. Annual recruitment of canopy &amp; understory species/genera across all censuses. Recruitment of canopy species is significantly higher within the deer exclosure. Recruitment of understory species is 20x that of canopy species."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Cs/>
          <w:b/>
        </w:rPr>
        <w:t xml:space="preserve">Figure 5. Annual recruitment of canopy &amp; understory species/genera across all censuses. Recruitment of canopy species is significantly higher within the deer exclosure. Recruitment of understory species is 20x that of canopy species.</w:t>
      </w:r>
    </w:p>
    <w:bookmarkEnd w:id="44"/>
    <w:bookmarkStart w:id="48" w:name="regeneration-mortality-mismatch"/>
    <w:p>
      <w:pPr>
        <w:pStyle w:val="Heading2"/>
      </w:pPr>
      <w:r>
        <w:rPr>
          <w:rStyle w:val="SectionNumber"/>
        </w:rPr>
        <w:t xml:space="preserve">3.3</w:t>
      </w:r>
      <w:r>
        <w:tab/>
      </w:r>
      <w:r>
        <w:t xml:space="preserve">Regeneration &amp; mortality mismatch</w:t>
      </w:r>
    </w:p>
    <w:p>
      <w:pPr>
        <w:pStyle w:val="CaptionedFigure"/>
      </w:pPr>
      <w:r>
        <w:drawing>
          <wp:inline>
            <wp:extent cx="3810000" cy="2540000"/>
            <wp:effectExtent b="0" l="0" r="0" t="0"/>
            <wp:docPr descr="Figure 6."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Cs/>
          <w:b/>
        </w:rPr>
        <w:t xml:space="preserve">Figure 6.</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Holtmann</w:t>
      </w:r>
      <w:r>
        <w:t xml:space="preserve"> </w:t>
      </w:r>
      <w:r>
        <w:rPr>
          <w:iCs/>
          <w:i/>
        </w:rPr>
        <w:t xml:space="preserve">et al.</w:t>
      </w:r>
      <w:r>
        <w:t xml:space="preserve"> </w:t>
      </w:r>
      <w:r>
        <w:t xml:space="preserve">(2021)</w:t>
      </w:r>
    </w:p>
    <w:bookmarkEnd w:id="50"/>
    <w:bookmarkStart w:id="51" w:name="conclusions-future-directions"/>
    <w:p>
      <w:pPr>
        <w:pStyle w:val="Heading1"/>
      </w:pPr>
      <w:r>
        <w:rPr>
          <w:rStyle w:val="SectionNumber"/>
        </w:rPr>
        <w:t xml:space="preserve">5</w:t>
      </w:r>
      <w:r>
        <w:tab/>
      </w:r>
      <w:r>
        <w:t xml:space="preserve">Conclusions /Future Directions</w:t>
      </w:r>
    </w:p>
    <w:bookmarkEnd w:id="51"/>
    <w:bookmarkStart w:id="52" w:name="Acknowledgements"/>
    <w:p>
      <w:pPr>
        <w:pStyle w:val="Heading1"/>
      </w:pPr>
      <w:r>
        <w:t xml:space="preserve">Acknowledgements</w:t>
      </w:r>
    </w:p>
    <w:p>
      <w:pPr>
        <w:numPr>
          <w:ilvl w:val="0"/>
          <w:numId w:val="1005"/>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95" w:name="references"/>
    <w:p>
      <w:pPr>
        <w:pStyle w:val="Heading1"/>
      </w:pPr>
      <w:r>
        <w:t xml:space="preserve">References</w:t>
      </w:r>
    </w:p>
    <w:bookmarkStart w:id="94" w:name="refs"/>
    <w:bookmarkStart w:id="57" w:name="ref-ahlströ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58">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59"/>
    <w:bookmarkStart w:id="61"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0">
        <w:r>
          <w:rPr>
            <w:rStyle w:val="Hyperlink"/>
          </w:rPr>
          <w:t xml:space="preserve">Carbon</w:t>
        </w:r>
        <w:r>
          <w:rPr>
            <w:rStyle w:val="Hyperlink"/>
          </w:rPr>
          <w:t xml:space="preserve"> </w:t>
        </w:r>
        <w:r>
          <w:rPr>
            <w:rStyle w:val="Hyperlink"/>
          </w:rPr>
          <w:t xml:space="preserve">concentration and carbon</w:t>
        </w:r>
        <w:r>
          <w:rPr>
            <w:rStyle w:val="Hyperlink"/>
          </w:rPr>
          <w:t xml:space="preserve"> </w:t>
        </w:r>
        <w:r>
          <w:rPr>
            <w:rStyle w:val="Hyperlink"/>
          </w:rPr>
          <w:t xml:space="preserve">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61"/>
    <w:bookmarkStart w:id="63"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2">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63"/>
    <w:bookmarkStart w:id="65"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w:t>
      </w:r>
      <w:r>
        <w:t xml:space="preserve"> </w:t>
      </w:r>
      <w:hyperlink r:id="rId64">
        <w:r>
          <w:rPr>
            <w:rStyle w:val="Hyperlink"/>
          </w:rPr>
          <w:t xml:space="preserve">Moving beyond photosynthesis: From carbon source to sink-driven vegetation modeling</w:t>
        </w:r>
      </w:hyperlink>
      <w:r>
        <w:t xml:space="preserve">.</w:t>
      </w:r>
      <w:r>
        <w:t xml:space="preserve"> </w:t>
      </w:r>
      <w:r>
        <w:rPr>
          <w:iCs/>
          <w:i/>
        </w:rPr>
        <w:t xml:space="preserve">The New Phytologist</w:t>
      </w:r>
      <w:r>
        <w:t xml:space="preserve"> </w:t>
      </w:r>
      <w:r>
        <w:rPr>
          <w:bCs/>
          <w:b/>
        </w:rPr>
        <w:t xml:space="preserve">201</w:t>
      </w:r>
      <w:r>
        <w:t xml:space="preserve">: 1086–1095.</w:t>
      </w:r>
    </w:p>
    <w:bookmarkEnd w:id="65"/>
    <w:bookmarkStart w:id="67"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6">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67"/>
    <w:bookmarkStart w:id="69"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Bruin S de</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8">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69"/>
    <w:bookmarkStart w:id="71"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70">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71"/>
    <w:bookmarkStart w:id="73" w:name="ref-holtmann_carbon_2021"/>
    <w:p>
      <w:pPr>
        <w:pStyle w:val="Bibliography"/>
      </w:pPr>
      <w:r>
        <w:rPr>
          <w:bCs/>
          <w:b/>
          <w:bCs/>
          <w:b/>
        </w:rPr>
        <w:t xml:space="preserve">Holtmann A</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Pohl F</w:t>
      </w:r>
      <w:r>
        <w:rPr>
          <w:bCs/>
          <w:b/>
        </w:rPr>
        <w:t xml:space="preserve">,</w:t>
      </w:r>
      <w:r>
        <w:rPr>
          <w:bCs/>
          <w:b/>
        </w:rPr>
        <w:t xml:space="preserve"> </w:t>
      </w:r>
      <w:r>
        <w:rPr>
          <w:bCs/>
          <w:b/>
          <w:bCs/>
          <w:b/>
        </w:rPr>
        <w:t xml:space="preserve">Rebmann C</w:t>
      </w:r>
      <w:r>
        <w:rPr>
          <w:bCs/>
          <w:b/>
        </w:rPr>
        <w:t xml:space="preserve">,</w:t>
      </w:r>
      <w:r>
        <w:rPr>
          <w:bCs/>
          <w:b/>
        </w:rPr>
        <w:t xml:space="preserve"> </w:t>
      </w:r>
      <w:r>
        <w:rPr>
          <w:bCs/>
          <w:b/>
          <w:bCs/>
          <w:b/>
        </w:rPr>
        <w:t xml:space="preserve">Fischer R</w:t>
      </w:r>
      <w:r>
        <w:t xml:space="preserve">.</w:t>
      </w:r>
      <w:r>
        <w:t xml:space="preserve"> </w:t>
      </w:r>
      <w:r>
        <w:rPr>
          <w:bCs/>
          <w:b/>
        </w:rPr>
        <w:t xml:space="preserve">2021</w:t>
      </w:r>
      <w:r>
        <w:t xml:space="preserve">.</w:t>
      </w:r>
      <w:r>
        <w:t xml:space="preserve"> </w:t>
      </w:r>
      <w:hyperlink r:id="rId72">
        <w:r>
          <w:rPr>
            <w:rStyle w:val="Hyperlink"/>
          </w:rPr>
          <w:t xml:space="preserve">Carbon</w:t>
        </w:r>
        <w:r>
          <w:rPr>
            <w:rStyle w:val="Hyperlink"/>
          </w:rPr>
          <w:t xml:space="preserve"> </w:t>
        </w:r>
        <w:r>
          <w:rPr>
            <w:rStyle w:val="Hyperlink"/>
          </w:rPr>
          <w:t xml:space="preserve">Sequestration</w:t>
        </w:r>
        <w:r>
          <w:rPr>
            <w:rStyle w:val="Hyperlink"/>
          </w:rPr>
          <w:t xml:space="preserve"> </w:t>
        </w:r>
        <w:r>
          <w:rPr>
            <w:rStyle w:val="Hyperlink"/>
          </w:rPr>
          <w:t xml:space="preserve">in</w:t>
        </w:r>
        <w:r>
          <w:rPr>
            <w:rStyle w:val="Hyperlink"/>
          </w:rPr>
          <w:t xml:space="preserve"> </w:t>
        </w:r>
        <w:r>
          <w:rPr>
            <w:rStyle w:val="Hyperlink"/>
          </w:rPr>
          <w:t xml:space="preserve">Mixed Deciduous Forests</w:t>
        </w:r>
        <w:r>
          <w:rPr>
            <w:rStyle w:val="Hyperlink"/>
          </w:rPr>
          <w:t xml:space="preserve">:</w:t>
        </w:r>
        <w:r>
          <w:rPr>
            <w:rStyle w:val="Hyperlink"/>
          </w:rPr>
          <w:t xml:space="preserve"> </w:t>
        </w:r>
        <w:r>
          <w:rPr>
            <w:rStyle w:val="Hyperlink"/>
          </w:rPr>
          <w:t xml:space="preserve">The Influence</w:t>
        </w:r>
        <w:r>
          <w:rPr>
            <w:rStyle w:val="Hyperlink"/>
          </w:rPr>
          <w:t xml:space="preserve"> </w:t>
        </w:r>
        <w:r>
          <w:rPr>
            <w:rStyle w:val="Hyperlink"/>
          </w:rPr>
          <w:t xml:space="preserve">of</w:t>
        </w:r>
        <w:r>
          <w:rPr>
            <w:rStyle w:val="Hyperlink"/>
          </w:rPr>
          <w:t xml:space="preserve"> </w:t>
        </w:r>
        <w:r>
          <w:rPr>
            <w:rStyle w:val="Hyperlink"/>
          </w:rPr>
          <w:t xml:space="preserve">Tree Size</w:t>
        </w:r>
        <w:r>
          <w:rPr>
            <w:rStyle w:val="Hyperlink"/>
          </w:rPr>
          <w:t xml:space="preserve"> </w:t>
        </w:r>
        <w:r>
          <w:rPr>
            <w:rStyle w:val="Hyperlink"/>
          </w:rPr>
          <w:t xml:space="preserve">and</w:t>
        </w:r>
        <w:r>
          <w:rPr>
            <w:rStyle w:val="Hyperlink"/>
          </w:rPr>
          <w:t xml:space="preserve"> </w:t>
        </w:r>
        <w:r>
          <w:rPr>
            <w:rStyle w:val="Hyperlink"/>
          </w:rPr>
          <w:t xml:space="preserve">Species Composition Derived</w:t>
        </w:r>
        <w:r>
          <w:rPr>
            <w:rStyle w:val="Hyperlink"/>
          </w:rPr>
          <w:t xml:space="preserve"> </w:t>
        </w:r>
        <w:r>
          <w:rPr>
            <w:rStyle w:val="Hyperlink"/>
          </w:rPr>
          <w:t xml:space="preserve">from</w:t>
        </w:r>
        <w:r>
          <w:rPr>
            <w:rStyle w:val="Hyperlink"/>
          </w:rPr>
          <w:t xml:space="preserve"> </w:t>
        </w:r>
        <w:r>
          <w:rPr>
            <w:rStyle w:val="Hyperlink"/>
          </w:rPr>
          <w:t xml:space="preserve">Model Experiments</w:t>
        </w:r>
      </w:hyperlink>
      <w:r>
        <w:t xml:space="preserve">.</w:t>
      </w:r>
      <w:r>
        <w:t xml:space="preserve"> </w:t>
      </w:r>
      <w:r>
        <w:rPr>
          <w:iCs/>
          <w:i/>
        </w:rPr>
        <w:t xml:space="preserve">Forests</w:t>
      </w:r>
      <w:r>
        <w:t xml:space="preserve"> </w:t>
      </w:r>
      <w:r>
        <w:rPr>
          <w:bCs/>
          <w:b/>
        </w:rPr>
        <w:t xml:space="preserve">12</w:t>
      </w:r>
      <w:r>
        <w:t xml:space="preserve">: 726.</w:t>
      </w:r>
    </w:p>
    <w:bookmarkEnd w:id="73"/>
    <w:bookmarkStart w:id="75" w:name="ref-knauer_understory_2023"/>
    <w:p>
      <w:pPr>
        <w:pStyle w:val="Bibliography"/>
      </w:pPr>
      <w:r>
        <w:rPr>
          <w:bCs/>
          <w:b/>
          <w:bCs/>
          <w:b/>
        </w:rPr>
        <w:t xml:space="preserve">Knauer A</w:t>
      </w:r>
      <w:r>
        <w:rPr>
          <w:bCs/>
          <w:b/>
        </w:rPr>
        <w:t xml:space="preserve">,</w:t>
      </w:r>
      <w:r>
        <w:rPr>
          <w:bCs/>
          <w:b/>
        </w:rPr>
        <w:t xml:space="preserve"> </w:t>
      </w:r>
      <w:r>
        <w:rPr>
          <w:bCs/>
          <w:b/>
          <w:bCs/>
          <w:b/>
        </w:rPr>
        <w:t xml:space="preserve">Betras T</w:t>
      </w:r>
      <w:r>
        <w:rPr>
          <w:bCs/>
          <w:b/>
        </w:rPr>
        <w:t xml:space="preserve">,</w:t>
      </w:r>
      <w:r>
        <w:rPr>
          <w:bCs/>
          <w:b/>
        </w:rPr>
        <w:t xml:space="preserve"> </w:t>
      </w:r>
      <w:r>
        <w:rPr>
          <w:bCs/>
          <w:b/>
          <w:bCs/>
          <w:b/>
        </w:rPr>
        <w:t xml:space="preserve">Royo AA</w:t>
      </w:r>
      <w:r>
        <w:rPr>
          <w:bCs/>
          <w:b/>
        </w:rPr>
        <w:t xml:space="preserve">,</w:t>
      </w:r>
      <w:r>
        <w:rPr>
          <w:bCs/>
          <w:b/>
        </w:rPr>
        <w:t xml:space="preserve"> </w:t>
      </w:r>
      <w:r>
        <w:rPr>
          <w:bCs/>
          <w:b/>
          <w:bCs/>
          <w:b/>
        </w:rPr>
        <w:t xml:space="preserve">Diggins TP</w:t>
      </w:r>
      <w:r>
        <w:rPr>
          <w:bCs/>
          <w:b/>
        </w:rPr>
        <w:t xml:space="preserve">,</w:t>
      </w:r>
      <w:r>
        <w:rPr>
          <w:bCs/>
          <w:b/>
        </w:rPr>
        <w:t xml:space="preserve"> </w:t>
      </w:r>
      <w:r>
        <w:rPr>
          <w:bCs/>
          <w:b/>
          <w:bCs/>
          <w:b/>
        </w:rPr>
        <w:t xml:space="preserve">Carson WP</w:t>
      </w:r>
      <w:r>
        <w:t xml:space="preserve">.</w:t>
      </w:r>
      <w:r>
        <w:t xml:space="preserve"> </w:t>
      </w:r>
      <w:r>
        <w:rPr>
          <w:bCs/>
          <w:b/>
        </w:rPr>
        <w:t xml:space="preserve">2023</w:t>
      </w:r>
      <w:r>
        <w:t xml:space="preserve">.</w:t>
      </w:r>
      <w:r>
        <w:t xml:space="preserve"> </w:t>
      </w:r>
      <w:hyperlink r:id="rId74">
        <w:r>
          <w:rPr>
            <w:rStyle w:val="Hyperlink"/>
          </w:rPr>
          <w:t xml:space="preserve">Understory plant communities fail to recover species diversity after excluding deer for nearly 20 years</w:t>
        </w:r>
      </w:hyperlink>
      <w:r>
        <w:t xml:space="preserve">.</w:t>
      </w:r>
      <w:r>
        <w:t xml:space="preserve"> </w:t>
      </w:r>
      <w:r>
        <w:rPr>
          <w:iCs/>
          <w:i/>
        </w:rPr>
        <w:t xml:space="preserve">Canadian Journal of Forest Research</w:t>
      </w:r>
      <w:r>
        <w:t xml:space="preserve"> </w:t>
      </w:r>
      <w:r>
        <w:rPr>
          <w:bCs/>
          <w:b/>
        </w:rPr>
        <w:t xml:space="preserve">53</w:t>
      </w:r>
      <w:r>
        <w:t xml:space="preserve">: 379–390.</w:t>
      </w:r>
    </w:p>
    <w:bookmarkEnd w:id="75"/>
    <w:bookmarkStart w:id="77"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6">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w:t>
      </w:r>
    </w:p>
    <w:bookmarkEnd w:id="77"/>
    <w:bookmarkStart w:id="79" w:name="ref-mcgarvey_effects_2013"/>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78">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79"/>
    <w:bookmarkStart w:id="81" w:name="ref-mcgregor_tree_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0">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81"/>
    <w:bookmarkStart w:id="83"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82">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83"/>
    <w:bookmarkStart w:id="85"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84">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85"/>
    <w:bookmarkStart w:id="87"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86">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87"/>
    <w:bookmarkStart w:id="89"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88">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89"/>
    <w:bookmarkStart w:id="91"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90">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91"/>
    <w:bookmarkStart w:id="93"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92">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93"/>
    <w:bookmarkEnd w:id="94"/>
    <w:bookmarkEnd w:id="95"/>
    <w:bookmarkStart w:id="96" w:name="supporting-information"/>
    <w:p>
      <w:pPr>
        <w:pStyle w:val="Heading1"/>
      </w:pPr>
      <w:r>
        <w:rPr>
          <w:rStyle w:val="SectionNumber"/>
        </w:rPr>
        <w:t xml:space="preserve">6</w:t>
      </w:r>
      <w:r>
        <w:tab/>
      </w:r>
      <w:r>
        <w:t xml:space="preserve">Supporting Information</w:t>
      </w:r>
    </w:p>
    <w:bookmarkEnd w:id="96"/>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84" Target="https://doi.org/10.1002/eap.2837" TargetMode="External" /><Relationship Type="http://schemas.openxmlformats.org/officeDocument/2006/relationships/hyperlink" Id="rId66" Target="https://doi.org/10.1007/s10530-021-02551-2" TargetMode="External" /><Relationship Type="http://schemas.openxmlformats.org/officeDocument/2006/relationships/hyperlink" Id="rId90" Target="https://doi.org/10.1016/j.foreco.2016.10.038" TargetMode="External" /><Relationship Type="http://schemas.openxmlformats.org/officeDocument/2006/relationships/hyperlink" Id="rId62" Target="https://doi.org/10.1038/s41467-020-20836-3" TargetMode="External" /><Relationship Type="http://schemas.openxmlformats.org/officeDocument/2006/relationships/hyperlink" Id="rId68" Target="https://doi.org/10.1038/s41558-020-00976-6" TargetMode="External" /><Relationship Type="http://schemas.openxmlformats.org/officeDocument/2006/relationships/hyperlink" Id="rId92" Target="https://doi.org/10.1038/s41561-023-01166-7" TargetMode="External" /><Relationship Type="http://schemas.openxmlformats.org/officeDocument/2006/relationships/hyperlink" Id="rId88" Target="https://doi.org/10.1073/pnas.1810512116" TargetMode="External" /><Relationship Type="http://schemas.openxmlformats.org/officeDocument/2006/relationships/hyperlink" Id="rId56" Target="https://doi.org/10.1088/1748-9326/7/4/044008" TargetMode="External" /><Relationship Type="http://schemas.openxmlformats.org/officeDocument/2006/relationships/hyperlink" Id="rId82" Target="https://doi.org/10.1111/1365-2664.13375" TargetMode="External" /><Relationship Type="http://schemas.openxmlformats.org/officeDocument/2006/relationships/hyperlink" Id="rId58" Target="https://doi.org/10.1111/gcb.12194" TargetMode="External" /><Relationship Type="http://schemas.openxmlformats.org/officeDocument/2006/relationships/hyperlink" Id="rId86" Target="https://doi.org/10.1111/gcb.12663" TargetMode="External" /><Relationship Type="http://schemas.openxmlformats.org/officeDocument/2006/relationships/hyperlink" Id="rId80" Target="https://doi.org/10.1111/nph.16996" TargetMode="External" /><Relationship Type="http://schemas.openxmlformats.org/officeDocument/2006/relationships/hyperlink" Id="rId76" Target="https://doi.org/10.1126/science.aaz9463" TargetMode="External" /><Relationship Type="http://schemas.openxmlformats.org/officeDocument/2006/relationships/hyperlink" Id="rId74" Target="https://doi.org/10.1139/cjfr-2022-0234" TargetMode="External" /><Relationship Type="http://schemas.openxmlformats.org/officeDocument/2006/relationships/hyperlink" Id="rId78" Target="https://doi.org/10.1656/045.020.0301" TargetMode="External" /><Relationship Type="http://schemas.openxmlformats.org/officeDocument/2006/relationships/hyperlink" Id="rId70" Target="https://doi.org/10.1890/ES13-00223.1" TargetMode="External" /><Relationship Type="http://schemas.openxmlformats.org/officeDocument/2006/relationships/hyperlink" Id="rId72" Target="https://doi.org/10.3390/f12060726" TargetMode="External" /><Relationship Type="http://schemas.openxmlformats.org/officeDocument/2006/relationships/hyperlink" Id="rId60" Target="https://doi.org/10.5194/bg-17-4173-2020" TargetMode="External" /><Relationship Type="http://schemas.openxmlformats.org/officeDocument/2006/relationships/hyperlink" Id="rId64"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84" Target="https://doi.org/10.1002/eap.2837" TargetMode="External" /><Relationship Type="http://schemas.openxmlformats.org/officeDocument/2006/relationships/hyperlink" Id="rId66" Target="https://doi.org/10.1007/s10530-021-02551-2" TargetMode="External" /><Relationship Type="http://schemas.openxmlformats.org/officeDocument/2006/relationships/hyperlink" Id="rId90" Target="https://doi.org/10.1016/j.foreco.2016.10.038" TargetMode="External" /><Relationship Type="http://schemas.openxmlformats.org/officeDocument/2006/relationships/hyperlink" Id="rId62" Target="https://doi.org/10.1038/s41467-020-20836-3" TargetMode="External" /><Relationship Type="http://schemas.openxmlformats.org/officeDocument/2006/relationships/hyperlink" Id="rId68" Target="https://doi.org/10.1038/s41558-020-00976-6" TargetMode="External" /><Relationship Type="http://schemas.openxmlformats.org/officeDocument/2006/relationships/hyperlink" Id="rId92" Target="https://doi.org/10.1038/s41561-023-01166-7" TargetMode="External" /><Relationship Type="http://schemas.openxmlformats.org/officeDocument/2006/relationships/hyperlink" Id="rId88" Target="https://doi.org/10.1073/pnas.1810512116" TargetMode="External" /><Relationship Type="http://schemas.openxmlformats.org/officeDocument/2006/relationships/hyperlink" Id="rId56" Target="https://doi.org/10.1088/1748-9326/7/4/044008" TargetMode="External" /><Relationship Type="http://schemas.openxmlformats.org/officeDocument/2006/relationships/hyperlink" Id="rId82" Target="https://doi.org/10.1111/1365-2664.13375" TargetMode="External" /><Relationship Type="http://schemas.openxmlformats.org/officeDocument/2006/relationships/hyperlink" Id="rId58" Target="https://doi.org/10.1111/gcb.12194" TargetMode="External" /><Relationship Type="http://schemas.openxmlformats.org/officeDocument/2006/relationships/hyperlink" Id="rId86" Target="https://doi.org/10.1111/gcb.12663" TargetMode="External" /><Relationship Type="http://schemas.openxmlformats.org/officeDocument/2006/relationships/hyperlink" Id="rId80" Target="https://doi.org/10.1111/nph.16996" TargetMode="External" /><Relationship Type="http://schemas.openxmlformats.org/officeDocument/2006/relationships/hyperlink" Id="rId76" Target="https://doi.org/10.1126/science.aaz9463" TargetMode="External" /><Relationship Type="http://schemas.openxmlformats.org/officeDocument/2006/relationships/hyperlink" Id="rId74" Target="https://doi.org/10.1139/cjfr-2022-0234" TargetMode="External" /><Relationship Type="http://schemas.openxmlformats.org/officeDocument/2006/relationships/hyperlink" Id="rId78" Target="https://doi.org/10.1656/045.020.0301" TargetMode="External" /><Relationship Type="http://schemas.openxmlformats.org/officeDocument/2006/relationships/hyperlink" Id="rId70" Target="https://doi.org/10.1890/ES13-00223.1" TargetMode="External" /><Relationship Type="http://schemas.openxmlformats.org/officeDocument/2006/relationships/hyperlink" Id="rId72" Target="https://doi.org/10.3390/f12060726" TargetMode="External" /><Relationship Type="http://schemas.openxmlformats.org/officeDocument/2006/relationships/hyperlink" Id="rId60" Target="https://doi.org/10.5194/bg-17-4173-2020" TargetMode="External" /><Relationship Type="http://schemas.openxmlformats.org/officeDocument/2006/relationships/hyperlink" Id="rId64"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2024-03-12T17:24:41Z</dcterms:created>
  <dcterms:modified xsi:type="dcterms:W3CDTF">2024-03-12T17:24:41Z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output">
    <vt:lpwstr/>
  </property>
</Properties>
</file>